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484068" cy="142117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84068" cy="1421174"/>
                    </a:xfrm>
                    <a:prstGeom prst="rect"/>
                    <a:ln/>
                  </pic:spPr>
                </pic:pic>
              </a:graphicData>
            </a:graphic>
          </wp:anchor>
        </w:drawing>
      </w:r>
    </w:p>
    <w:p w:rsidR="00000000" w:rsidDel="00000000" w:rsidP="00000000" w:rsidRDefault="00000000" w:rsidRPr="00000000" w14:paraId="00000002">
      <w:pPr>
        <w:rPr>
          <w:color w:val="222222"/>
        </w:rPr>
      </w:pPr>
      <w:r w:rsidDel="00000000" w:rsidR="00000000" w:rsidRPr="00000000">
        <w:rPr>
          <w:rtl w:val="0"/>
        </w:rPr>
      </w:r>
    </w:p>
    <w:p w:rsidR="00000000" w:rsidDel="00000000" w:rsidP="00000000" w:rsidRDefault="00000000" w:rsidRPr="00000000" w14:paraId="00000003">
      <w:pPr>
        <w:rPr>
          <w:color w:val="222222"/>
        </w:rPr>
      </w:pPr>
      <w:r w:rsidDel="00000000" w:rsidR="00000000" w:rsidRPr="00000000">
        <w:rPr>
          <w:rtl w:val="0"/>
        </w:rPr>
      </w:r>
    </w:p>
    <w:p w:rsidR="00000000" w:rsidDel="00000000" w:rsidP="00000000" w:rsidRDefault="00000000" w:rsidRPr="00000000" w14:paraId="00000004">
      <w:pPr>
        <w:rPr>
          <w:color w:val="222222"/>
        </w:rPr>
      </w:pPr>
      <w:r w:rsidDel="00000000" w:rsidR="00000000" w:rsidRPr="00000000">
        <w:rPr>
          <w:rtl w:val="0"/>
        </w:rPr>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rtl w:val="0"/>
        </w:rPr>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rtl w:val="0"/>
        </w:rPr>
      </w:r>
    </w:p>
    <w:p w:rsidR="00000000" w:rsidDel="00000000" w:rsidP="00000000" w:rsidRDefault="00000000" w:rsidRPr="00000000" w14:paraId="00000009">
      <w:pPr>
        <w:rPr>
          <w:color w:val="222222"/>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rtl w:val="0"/>
        </w:rPr>
      </w:r>
    </w:p>
    <w:p w:rsidR="00000000" w:rsidDel="00000000" w:rsidP="00000000" w:rsidRDefault="00000000" w:rsidRPr="00000000" w14:paraId="0000000B">
      <w:pPr>
        <w:rPr>
          <w:color w:val="222222"/>
        </w:rPr>
      </w:pPr>
      <w:r w:rsidDel="00000000" w:rsidR="00000000" w:rsidRPr="00000000">
        <w:rPr>
          <w:color w:val="222222"/>
          <w:rtl w:val="0"/>
        </w:rPr>
        <w:t xml:space="preserve">Tere!</w:t>
        <w:tab/>
        <w:tab/>
        <w:tab/>
        <w:tab/>
        <w:tab/>
        <w:tab/>
        <w:tab/>
        <w:tab/>
        <w:tab/>
        <w:tab/>
      </w:r>
    </w:p>
    <w:p w:rsidR="00000000" w:rsidDel="00000000" w:rsidP="00000000" w:rsidRDefault="00000000" w:rsidRPr="00000000" w14:paraId="0000000C">
      <w:pPr>
        <w:rPr>
          <w:color w:val="222222"/>
        </w:rPr>
      </w:pPr>
      <w:r w:rsidDel="00000000" w:rsidR="00000000" w:rsidRPr="00000000">
        <w:rPr>
          <w:rtl w:val="0"/>
        </w:rPr>
      </w:r>
    </w:p>
    <w:p w:rsidR="00000000" w:rsidDel="00000000" w:rsidP="00000000" w:rsidRDefault="00000000" w:rsidRPr="00000000" w14:paraId="0000000D">
      <w:pPr>
        <w:rPr>
          <w:color w:val="222222"/>
        </w:rPr>
      </w:pPr>
      <w:r w:rsidDel="00000000" w:rsidR="00000000" w:rsidRPr="00000000">
        <w:rPr>
          <w:color w:val="222222"/>
          <w:rtl w:val="0"/>
        </w:rPr>
        <w:t xml:space="preserve">Esitame Eesti Nooremarstide Ühenduse arvamuse tervishoiuteenuste korraldamise seaduse muutmise eelnõu osas.</w:t>
      </w:r>
    </w:p>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Eesti Nooremarstide Ühenduse juhatus, volikogu ja liikmed on arvamusel, et hetkel on mõistlik vana TTKS seaduseelnõu kirjutada ümber arvestades tänapäevale omaseid võimalusi ja eesmärke. Kõige suurema muudatusena enda vaatevinklist näeme arst-residendi rolli ja ameti defineerimist. Oleme </w:t>
      </w:r>
      <w:r w:rsidDel="00000000" w:rsidR="00000000" w:rsidRPr="00000000">
        <w:rPr>
          <w:color w:val="222222"/>
          <w:rtl w:val="0"/>
        </w:rPr>
        <w:t xml:space="preserve">arvamusel</w:t>
      </w:r>
      <w:r w:rsidDel="00000000" w:rsidR="00000000" w:rsidRPr="00000000">
        <w:rPr>
          <w:color w:val="222222"/>
          <w:rtl w:val="0"/>
        </w:rPr>
        <w:t xml:space="preserve">, et arst-resident ei peaks kuuluma tervishoiuteenuste osutamisel olevate isikute rühma vaid tervishoiutöötajate hulka. Definitsiooni järgi on arst-resident üldarst, kes omandab eriarsti juhendamise all eriala pädevusi. Arst-residendi defineerimine aitab samuti paremini defineerida arst-residendi ülesandeid ja õigusi ning võimaldab kooskõlastada mõiste esinemist teistes seadustes. </w:t>
      </w:r>
    </w:p>
    <w:p w:rsidR="00000000" w:rsidDel="00000000" w:rsidP="00000000" w:rsidRDefault="00000000" w:rsidRPr="00000000" w14:paraId="00000010">
      <w:pPr>
        <w:rPr>
          <w:color w:val="222222"/>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color w:val="222222"/>
          <w:rtl w:val="0"/>
        </w:rPr>
        <w:t xml:space="preserve">Teiseks aitab täielikult uus seaduseelnõu defineerida ümber tervishoiuteenuste eesmärke. Näiteks võimalus minna üle üksikteenuselt lõpptulemuse rõhutamiseni. Lõpptulemuse rõhutamine suunab raviasutuste, perearstide ja muude tervishoiuteenuste osutajate fookuse patsiendi reaalsele </w:t>
      </w:r>
      <w:r w:rsidDel="00000000" w:rsidR="00000000" w:rsidRPr="00000000">
        <w:rPr>
          <w:color w:val="222222"/>
          <w:rtl w:val="0"/>
        </w:rPr>
        <w:t xml:space="preserve">lõppseisundile</w:t>
      </w:r>
      <w:r w:rsidDel="00000000" w:rsidR="00000000" w:rsidRPr="00000000">
        <w:rPr>
          <w:color w:val="222222"/>
          <w:rtl w:val="0"/>
        </w:rPr>
        <w:t xml:space="preserve"> ja -eesmärgile, mitte antavate teenuste hulgale. </w:t>
      </w:r>
    </w:p>
    <w:p w:rsidR="00000000" w:rsidDel="00000000" w:rsidP="00000000" w:rsidRDefault="00000000" w:rsidRPr="00000000" w14:paraId="00000012">
      <w:pPr>
        <w:rPr>
          <w:color w:val="222222"/>
        </w:rPr>
      </w:pPr>
      <w:r w:rsidDel="00000000" w:rsidR="00000000" w:rsidRPr="00000000">
        <w:rPr>
          <w:rtl w:val="0"/>
        </w:rPr>
      </w:r>
    </w:p>
    <w:p w:rsidR="00000000" w:rsidDel="00000000" w:rsidP="00000000" w:rsidRDefault="00000000" w:rsidRPr="00000000" w14:paraId="00000013">
      <w:pPr>
        <w:rPr>
          <w:color w:val="222222"/>
        </w:rPr>
      </w:pPr>
      <w:r w:rsidDel="00000000" w:rsidR="00000000" w:rsidRPr="00000000">
        <w:rPr>
          <w:color w:val="222222"/>
          <w:rtl w:val="0"/>
        </w:rPr>
        <w:t xml:space="preserve">Lugupidamisega!</w:t>
      </w:r>
    </w:p>
    <w:p w:rsidR="00000000" w:rsidDel="00000000" w:rsidP="00000000" w:rsidRDefault="00000000" w:rsidRPr="00000000" w14:paraId="00000014">
      <w:pPr>
        <w:rPr/>
      </w:pPr>
      <w:r w:rsidDel="00000000" w:rsidR="00000000" w:rsidRPr="00000000">
        <w:rPr>
          <w:color w:val="222222"/>
          <w:rtl w:val="0"/>
        </w:rPr>
        <w:t xml:space="preserve">ENÜ juhatus.</w:t>
      </w:r>
      <w:r w:rsidDel="00000000" w:rsidR="00000000" w:rsidRPr="00000000">
        <w:rPr>
          <w:rtl w:val="0"/>
        </w:rPr>
      </w:r>
    </w:p>
    <w:p w:rsidR="00000000" w:rsidDel="00000000" w:rsidP="00000000" w:rsidRDefault="00000000" w:rsidRPr="00000000" w14:paraId="00000015">
      <w:pPr>
        <w:rPr>
          <w:color w:val="222222"/>
        </w:rPr>
      </w:pPr>
      <w:r w:rsidDel="00000000" w:rsidR="00000000" w:rsidRPr="00000000">
        <w:rPr>
          <w:color w:val="222222"/>
          <w:rtl w:val="0"/>
        </w:rPr>
        <w:t xml:space="preserve">27.01.2024</w:t>
      </w:r>
    </w:p>
    <w:p w:rsidR="00000000" w:rsidDel="00000000" w:rsidP="00000000" w:rsidRDefault="00000000" w:rsidRPr="00000000" w14:paraId="00000016">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umanst521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34.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58"/>
      <w:gridCol w:w="2458"/>
      <w:gridCol w:w="2459"/>
      <w:gridCol w:w="2459"/>
      <w:tblGridChange w:id="0">
        <w:tblGrid>
          <w:gridCol w:w="2458"/>
          <w:gridCol w:w="2458"/>
          <w:gridCol w:w="2459"/>
          <w:gridCol w:w="2459"/>
        </w:tblGrid>
      </w:tblGridChange>
    </w:tblGrid>
    <w:tr>
      <w:trPr>
        <w:cantSplit w:val="0"/>
        <w:trHeight w:val="397" w:hRule="atLeast"/>
        <w:tblHeader w:val="0"/>
      </w:trPr>
      <w:tc>
        <w:tcPr>
          <w:gridSpan w:val="4"/>
          <w:tcBorders>
            <w:top w:color="000000" w:space="0" w:sz="0" w:val="nil"/>
            <w:bottom w:color="000000" w:space="0" w:sz="4" w:val="single"/>
          </w:tcBorders>
          <w:vAlign w:val="top"/>
        </w:tcPr>
        <w:p w:rsidR="00000000" w:rsidDel="00000000" w:rsidP="00000000" w:rsidRDefault="00000000" w:rsidRPr="00000000" w14:paraId="00000018">
          <w:pPr>
            <w:widowControl w:val="0"/>
            <w:tabs>
              <w:tab w:val="center" w:leader="none" w:pos="4536"/>
              <w:tab w:val="right" w:leader="none" w:pos="9072"/>
            </w:tabs>
            <w:spacing w:line="240" w:lineRule="auto"/>
            <w:rPr>
              <w:rFonts w:ascii="Humanst521 BT" w:cs="Humanst521 BT" w:eastAsia="Humanst521 BT" w:hAnsi="Humanst521 BT"/>
              <w:sz w:val="24"/>
              <w:szCs w:val="24"/>
            </w:rPr>
          </w:pPr>
          <w:r w:rsidDel="00000000" w:rsidR="00000000" w:rsidRPr="00000000">
            <w:rPr>
              <w:rFonts w:ascii="Humanst521 BT" w:cs="Humanst521 BT" w:eastAsia="Humanst521 BT" w:hAnsi="Humanst521 BT"/>
              <w:b w:val="1"/>
              <w:sz w:val="24"/>
              <w:szCs w:val="24"/>
              <w:rtl w:val="0"/>
            </w:rPr>
            <w:t xml:space="preserve">EESTI NOOREMARSTIDE ÜHENDUS  Reg nr 80012939</w:t>
            <w:br w:type="textWrapping"/>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1C">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Pepleri 32 </w:t>
          </w:r>
        </w:p>
        <w:p w:rsidR="00000000" w:rsidDel="00000000" w:rsidP="00000000" w:rsidRDefault="00000000" w:rsidRPr="00000000" w14:paraId="0000001D">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51010 Tartu</w:t>
          </w:r>
        </w:p>
      </w:tc>
      <w:tc>
        <w:tcPr>
          <w:tcBorders>
            <w:top w:color="000000" w:space="0" w:sz="4" w:val="single"/>
          </w:tcBorders>
          <w:vAlign w:val="top"/>
        </w:tcPr>
        <w:p w:rsidR="00000000" w:rsidDel="00000000" w:rsidP="00000000" w:rsidRDefault="00000000" w:rsidRPr="00000000" w14:paraId="0000001E">
          <w:pPr>
            <w:widowControl w:val="0"/>
            <w:tabs>
              <w:tab w:val="center" w:leader="none" w:pos="4536"/>
              <w:tab w:val="right" w:leader="none" w:pos="9072"/>
            </w:tabs>
            <w:spacing w:line="240" w:lineRule="auto"/>
            <w:ind w:left="242" w:firstLine="180.00000000000003"/>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tel   742 0429</w:t>
          </w:r>
        </w:p>
        <w:p w:rsidR="00000000" w:rsidDel="00000000" w:rsidP="00000000" w:rsidRDefault="00000000" w:rsidRPr="00000000" w14:paraId="0000001F">
          <w:pPr>
            <w:widowControl w:val="0"/>
            <w:tabs>
              <w:tab w:val="center" w:leader="none" w:pos="4536"/>
              <w:tab w:val="right" w:leader="none" w:pos="9072"/>
            </w:tabs>
            <w:spacing w:line="240" w:lineRule="auto"/>
            <w:ind w:left="242" w:firstLine="180.00000000000003"/>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faks 742 0932</w:t>
          </w:r>
        </w:p>
      </w:tc>
      <w:tc>
        <w:tcPr>
          <w:tcBorders>
            <w:top w:color="000000" w:space="0" w:sz="4" w:val="single"/>
          </w:tcBorders>
          <w:vAlign w:val="top"/>
        </w:tcPr>
        <w:p w:rsidR="00000000" w:rsidDel="00000000" w:rsidP="00000000" w:rsidRDefault="00000000" w:rsidRPr="00000000" w14:paraId="00000020">
          <w:pPr>
            <w:widowControl w:val="0"/>
            <w:tabs>
              <w:tab w:val="center" w:leader="none" w:pos="4536"/>
              <w:tab w:val="right" w:leader="none" w:pos="9072"/>
            </w:tabs>
            <w:spacing w:line="240" w:lineRule="auto"/>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e-mail: eny@eny.ee</w:t>
            <w:br w:type="textWrapping"/>
            <w:t xml:space="preserve">www.eny.ee</w:t>
          </w:r>
        </w:p>
      </w:tc>
      <w:tc>
        <w:tcPr>
          <w:tcBorders>
            <w:top w:color="000000" w:space="0" w:sz="4" w:val="single"/>
          </w:tcBorders>
          <w:vAlign w:val="top"/>
        </w:tcPr>
        <w:p w:rsidR="00000000" w:rsidDel="00000000" w:rsidP="00000000" w:rsidRDefault="00000000" w:rsidRPr="00000000" w14:paraId="00000021">
          <w:pPr>
            <w:widowControl w:val="0"/>
            <w:tabs>
              <w:tab w:val="center" w:leader="none" w:pos="4536"/>
              <w:tab w:val="right" w:leader="none" w:pos="9072"/>
            </w:tabs>
            <w:spacing w:line="240" w:lineRule="auto"/>
            <w:jc w:val="center"/>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phone  +372 742 0429</w:t>
          </w:r>
        </w:p>
        <w:p w:rsidR="00000000" w:rsidDel="00000000" w:rsidP="00000000" w:rsidRDefault="00000000" w:rsidRPr="00000000" w14:paraId="00000022">
          <w:pPr>
            <w:widowControl w:val="0"/>
            <w:tabs>
              <w:tab w:val="center" w:leader="none" w:pos="4536"/>
              <w:tab w:val="right" w:leader="none" w:pos="9072"/>
            </w:tabs>
            <w:spacing w:line="240" w:lineRule="auto"/>
            <w:jc w:val="center"/>
            <w:rPr>
              <w:rFonts w:ascii="Humanst521 BT" w:cs="Humanst521 BT" w:eastAsia="Humanst521 BT" w:hAnsi="Humanst521 BT"/>
              <w:sz w:val="20"/>
              <w:szCs w:val="20"/>
            </w:rPr>
          </w:pPr>
          <w:r w:rsidDel="00000000" w:rsidR="00000000" w:rsidRPr="00000000">
            <w:rPr>
              <w:rFonts w:ascii="Humanst521 BT" w:cs="Humanst521 BT" w:eastAsia="Humanst521 BT" w:hAnsi="Humanst521 BT"/>
              <w:sz w:val="20"/>
              <w:szCs w:val="20"/>
              <w:rtl w:val="0"/>
            </w:rPr>
            <w:t xml:space="preserve">fax       +372 742 0932</w:t>
          </w:r>
        </w:p>
      </w:tc>
    </w:tr>
  </w:tbl>
  <w:p w:rsidR="00000000" w:rsidDel="00000000" w:rsidP="00000000" w:rsidRDefault="00000000" w:rsidRPr="00000000" w14:paraId="00000023">
    <w:pPr>
      <w:widowControl w:val="0"/>
      <w:tabs>
        <w:tab w:val="center" w:leader="none" w:pos="4536"/>
        <w:tab w:val="right" w:leader="none" w:pos="9072"/>
      </w:tabs>
      <w:spacing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